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EB8F" w14:textId="751EEE4E" w:rsidR="00F9607F" w:rsidRDefault="00F9607F" w:rsidP="00F9607F"/>
    <w:p w14:paraId="0DDFBB79" w14:textId="0CE4C910" w:rsidR="00982BE6" w:rsidRDefault="00D56089" w:rsidP="005215FF">
      <w:pPr>
        <w:pStyle w:val="Title"/>
        <w:jc w:val="center"/>
      </w:pPr>
      <w:r>
        <w:t>Report</w:t>
      </w:r>
      <w:r w:rsidR="00D14710">
        <w:t xml:space="preserve"> of Work</w:t>
      </w:r>
    </w:p>
    <w:p w14:paraId="5B27D0A5" w14:textId="77777777" w:rsidR="005215FF" w:rsidRDefault="005215FF" w:rsidP="005215FF">
      <w:pPr>
        <w:pStyle w:val="Heading1"/>
      </w:pPr>
      <w:r>
        <w:t>Proposal #</w:t>
      </w:r>
    </w:p>
    <w:p w14:paraId="217C32EB" w14:textId="3F5D1751" w:rsidR="005215FF" w:rsidRDefault="00E00EE6" w:rsidP="005215FF">
      <w:r>
        <w:t>LV</w:t>
      </w:r>
      <w:r w:rsidR="00BF765F">
        <w:t>-</w:t>
      </w:r>
      <w:r w:rsidR="00B90EB9">
        <w:t>33</w:t>
      </w:r>
    </w:p>
    <w:p w14:paraId="34BA2735" w14:textId="77777777" w:rsidR="005215FF" w:rsidRDefault="005215FF" w:rsidP="005215FF"/>
    <w:p w14:paraId="647EDAD1" w14:textId="77777777" w:rsidR="00DA701F" w:rsidRDefault="00DA701F" w:rsidP="00DA701F">
      <w:pPr>
        <w:pStyle w:val="Heading1"/>
      </w:pPr>
      <w:r>
        <w:t>Title</w:t>
      </w:r>
    </w:p>
    <w:p w14:paraId="719D7776" w14:textId="2D48126C" w:rsidR="00DA701F" w:rsidRDefault="00B90EB9" w:rsidP="00DA701F">
      <w:r>
        <w:t>Effect of AC-11</w:t>
      </w:r>
      <w:r w:rsidR="00DF0F96" w:rsidRPr="006B30EF">
        <w:rPr>
          <w:vertAlign w:val="superscript"/>
        </w:rPr>
        <w:t>®</w:t>
      </w:r>
      <w:bookmarkStart w:id="0" w:name="_GoBack"/>
      <w:bookmarkEnd w:id="0"/>
      <w:r>
        <w:t xml:space="preserve"> on 5 major Cytochrome P450 enzymes</w:t>
      </w:r>
      <w:r w:rsidR="00A44985">
        <w:t xml:space="preserve"> (biochemical assays)</w:t>
      </w:r>
    </w:p>
    <w:p w14:paraId="40FCED84" w14:textId="77777777" w:rsidR="00F33776" w:rsidRDefault="00F33776" w:rsidP="00DA701F"/>
    <w:p w14:paraId="4230C056" w14:textId="77777777" w:rsidR="005215FF" w:rsidRDefault="005215FF" w:rsidP="005215FF">
      <w:pPr>
        <w:pStyle w:val="Heading1"/>
      </w:pPr>
      <w:r>
        <w:t>Client</w:t>
      </w:r>
    </w:p>
    <w:p w14:paraId="634F85D9" w14:textId="3EC9F5FC" w:rsidR="005215FF" w:rsidRDefault="00A44985" w:rsidP="005215FF">
      <w:r>
        <w:t xml:space="preserve">Dan </w:t>
      </w:r>
      <w:proofErr w:type="spellStart"/>
      <w:r>
        <w:t>Zwiren</w:t>
      </w:r>
      <w:proofErr w:type="spellEnd"/>
      <w:r>
        <w:t xml:space="preserve">, </w:t>
      </w:r>
      <w:proofErr w:type="spellStart"/>
      <w:r>
        <w:t>Optigenex</w:t>
      </w:r>
      <w:proofErr w:type="spellEnd"/>
    </w:p>
    <w:p w14:paraId="7CCEB12B" w14:textId="77777777" w:rsidR="005215FF" w:rsidRDefault="005215FF" w:rsidP="005215FF"/>
    <w:p w14:paraId="206FA892" w14:textId="77777777" w:rsidR="005215FF" w:rsidRDefault="005215FF" w:rsidP="005215FF">
      <w:pPr>
        <w:pStyle w:val="Heading1"/>
      </w:pPr>
      <w:r>
        <w:t>Prepared by</w:t>
      </w:r>
    </w:p>
    <w:p w14:paraId="76A2BCE1" w14:textId="2F2AEDB5" w:rsidR="005215FF" w:rsidRDefault="00D56089" w:rsidP="005215FF">
      <w:r>
        <w:t>Bret Stephens</w:t>
      </w:r>
      <w:r w:rsidR="003A2EA6">
        <w:t>, PhD</w:t>
      </w:r>
    </w:p>
    <w:p w14:paraId="5C350DC1" w14:textId="77777777" w:rsidR="00856D9E" w:rsidRDefault="00856D9E" w:rsidP="00D305BA"/>
    <w:p w14:paraId="7A5D956D" w14:textId="77777777" w:rsidR="00856D9E" w:rsidRDefault="00856D9E" w:rsidP="00856D9E">
      <w:pPr>
        <w:pStyle w:val="Heading1"/>
      </w:pPr>
      <w:r>
        <w:t>Background</w:t>
      </w:r>
    </w:p>
    <w:p w14:paraId="43D958EB" w14:textId="2C127479" w:rsidR="00A44985" w:rsidRDefault="006B30EF" w:rsidP="00A44985">
      <w:proofErr w:type="spellStart"/>
      <w:r>
        <w:t>Optigenex</w:t>
      </w:r>
      <w:proofErr w:type="spellEnd"/>
      <w:r w:rsidR="00A44985">
        <w:t xml:space="preserve"> is currently performing due diligence on a Cat’s claw extract, AC</w:t>
      </w:r>
      <w:r>
        <w:t>-11</w:t>
      </w:r>
      <w:r w:rsidRPr="006B30EF">
        <w:rPr>
          <w:vertAlign w:val="superscript"/>
        </w:rPr>
        <w:t>®</w:t>
      </w:r>
      <w:r>
        <w:t xml:space="preserve">. </w:t>
      </w:r>
      <w:proofErr w:type="spellStart"/>
      <w:r>
        <w:t>Optigenex</w:t>
      </w:r>
      <w:proofErr w:type="spellEnd"/>
      <w:r>
        <w:t xml:space="preserve"> </w:t>
      </w:r>
      <w:r w:rsidR="00A44985">
        <w:t>wanted to determine the effect of AC-11</w:t>
      </w:r>
      <w:r w:rsidRPr="006B30EF">
        <w:rPr>
          <w:vertAlign w:val="superscript"/>
        </w:rPr>
        <w:t>®</w:t>
      </w:r>
      <w:r w:rsidR="00A44985">
        <w:t xml:space="preserve"> alone and in combination with common pharmaceutical agents on the activity of major cytochrome P450 enzymes (enzymes involved in, among other functions, the metabolism of pharmaceutical agents). </w:t>
      </w:r>
    </w:p>
    <w:p w14:paraId="59B31F1F" w14:textId="39307925" w:rsidR="00F413A5" w:rsidRDefault="00243219" w:rsidP="00F413A5">
      <w:pPr>
        <w:pStyle w:val="Heading1"/>
      </w:pPr>
      <w:r>
        <w:t>Materials and Methods</w:t>
      </w:r>
    </w:p>
    <w:p w14:paraId="1C30352C" w14:textId="77777777" w:rsidR="008805F4" w:rsidRPr="008805F4" w:rsidRDefault="008805F4" w:rsidP="006651B5">
      <w:pPr>
        <w:rPr>
          <w:b/>
        </w:rPr>
      </w:pPr>
      <w:r w:rsidRPr="008805F4">
        <w:rPr>
          <w:b/>
        </w:rPr>
        <w:t>Test Compounds</w:t>
      </w:r>
    </w:p>
    <w:p w14:paraId="1D196F8D" w14:textId="42199594" w:rsidR="00F24CAC" w:rsidRDefault="008805F4" w:rsidP="008805F4">
      <w:r>
        <w:t xml:space="preserve">Fresh </w:t>
      </w:r>
      <w:r w:rsidR="001C5B30">
        <w:t>AC-11</w:t>
      </w:r>
      <w:r w:rsidR="006B30EF" w:rsidRPr="006B30EF">
        <w:rPr>
          <w:vertAlign w:val="superscript"/>
        </w:rPr>
        <w:t>®</w:t>
      </w:r>
      <w:r w:rsidR="009D58BB">
        <w:t xml:space="preserve"> was</w:t>
      </w:r>
      <w:r w:rsidR="00243219">
        <w:t xml:space="preserve"> </w:t>
      </w:r>
      <w:r>
        <w:t>delivered to Wasatch Scientific on 0</w:t>
      </w:r>
      <w:r w:rsidR="001C5B30">
        <w:t>6</w:t>
      </w:r>
      <w:r>
        <w:t>-</w:t>
      </w:r>
      <w:r w:rsidR="001C5B30">
        <w:t>15</w:t>
      </w:r>
      <w:r>
        <w:t>-18</w:t>
      </w:r>
      <w:r w:rsidR="009D58BB">
        <w:t xml:space="preserve"> by </w:t>
      </w:r>
      <w:proofErr w:type="spellStart"/>
      <w:r w:rsidR="006B30EF">
        <w:t>Optigenex</w:t>
      </w:r>
      <w:proofErr w:type="spellEnd"/>
      <w:r w:rsidR="006B30EF">
        <w:t xml:space="preserve"> Inc</w:t>
      </w:r>
      <w:r>
        <w:t xml:space="preserve">. </w:t>
      </w:r>
    </w:p>
    <w:p w14:paraId="4657B590" w14:textId="1F4F37BD" w:rsidR="001C5B30" w:rsidRDefault="001C5B30" w:rsidP="008805F4">
      <w:r>
        <w:t>Diltiazem</w:t>
      </w:r>
      <w:r w:rsidR="002D128D">
        <w:t xml:space="preserve"> was purchased through Selleck Chemicals (Cat. # S1865).</w:t>
      </w:r>
    </w:p>
    <w:p w14:paraId="34226EC6" w14:textId="5EAFF4CD" w:rsidR="001C5B30" w:rsidRDefault="001C5B30" w:rsidP="008805F4">
      <w:r>
        <w:t>Verapamil</w:t>
      </w:r>
      <w:r w:rsidR="002D128D">
        <w:t xml:space="preserve"> was purchased through Sigma-Aldrich (Cat. # V4629). </w:t>
      </w:r>
    </w:p>
    <w:p w14:paraId="69D3D66F" w14:textId="3B7FFFC9" w:rsidR="00C84462" w:rsidRDefault="001C5B30" w:rsidP="002D128D">
      <w:r>
        <w:t>Erythromycin</w:t>
      </w:r>
      <w:r w:rsidR="002D128D">
        <w:t xml:space="preserve"> was purchased through Selleck Chemicals (Cat. # S1635). </w:t>
      </w:r>
    </w:p>
    <w:p w14:paraId="7C1DD1DD" w14:textId="77777777" w:rsidR="00A53733" w:rsidRPr="00BF765F" w:rsidRDefault="00A53733" w:rsidP="00C20C61">
      <w:pPr>
        <w:pStyle w:val="ListParagraph"/>
        <w:ind w:left="0"/>
      </w:pPr>
    </w:p>
    <w:p w14:paraId="1F0907BE" w14:textId="6997C439" w:rsidR="007E3B89" w:rsidRDefault="00C84462" w:rsidP="00296F57">
      <w:pPr>
        <w:rPr>
          <w:b/>
        </w:rPr>
      </w:pPr>
      <w:r>
        <w:rPr>
          <w:b/>
        </w:rPr>
        <w:t>CYP450 inhibition</w:t>
      </w:r>
      <w:r w:rsidR="00DA2670" w:rsidRPr="00AE5BB8">
        <w:rPr>
          <w:b/>
        </w:rPr>
        <w:t xml:space="preserve"> </w:t>
      </w:r>
      <w:r w:rsidR="003E79EE">
        <w:rPr>
          <w:b/>
        </w:rPr>
        <w:t>assays</w:t>
      </w:r>
    </w:p>
    <w:p w14:paraId="4B893897" w14:textId="3AACCF0C" w:rsidR="00690FFF" w:rsidRDefault="003E79EE" w:rsidP="00296F57">
      <w:r>
        <w:t>CYP screening syste</w:t>
      </w:r>
      <w:r w:rsidR="00E344D5">
        <w:t xml:space="preserve">ms and </w:t>
      </w:r>
      <w:r w:rsidR="002E38D3">
        <w:t xml:space="preserve">positive </w:t>
      </w:r>
      <w:r w:rsidR="00E344D5">
        <w:t>control inhibitors we</w:t>
      </w:r>
      <w:r w:rsidR="00690FFF">
        <w:t xml:space="preserve">re purchased according to </w:t>
      </w:r>
      <w:r w:rsidR="00690FFF" w:rsidRPr="00690FFF">
        <w:rPr>
          <w:b/>
        </w:rPr>
        <w:t xml:space="preserve">Table </w:t>
      </w:r>
      <w:r w:rsidR="002D128D">
        <w:rPr>
          <w:b/>
        </w:rPr>
        <w:t>1</w:t>
      </w:r>
      <w:r w:rsidR="00690FFF">
        <w:t xml:space="preserve">. </w:t>
      </w:r>
    </w:p>
    <w:p w14:paraId="7B2379A3" w14:textId="77777777" w:rsidR="00690FFF" w:rsidRDefault="00690FFF" w:rsidP="00296F57"/>
    <w:p w14:paraId="1AFE5FA6" w14:textId="5FE3D052" w:rsidR="00690FFF" w:rsidRDefault="00690FFF" w:rsidP="00296F57">
      <w:r w:rsidRPr="00690FFF">
        <w:rPr>
          <w:b/>
        </w:rPr>
        <w:t xml:space="preserve">Table </w:t>
      </w:r>
      <w:r w:rsidR="002D128D">
        <w:rPr>
          <w:b/>
        </w:rPr>
        <w:t>1</w:t>
      </w:r>
      <w:r>
        <w:t xml:space="preserve">. Particular substrates, enzymes, and </w:t>
      </w:r>
      <w:r w:rsidR="002D128D">
        <w:t xml:space="preserve">control </w:t>
      </w:r>
      <w:r>
        <w:t>inhibitors used in the present study.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680"/>
        <w:gridCol w:w="1680"/>
        <w:gridCol w:w="4440"/>
      </w:tblGrid>
      <w:tr w:rsidR="00690FFF" w:rsidRPr="00690FFF" w14:paraId="55321B76" w14:textId="77777777" w:rsidTr="00690FF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03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CYP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9FE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Cat. #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A34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Vendor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A12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90FFF">
              <w:rPr>
                <w:rFonts w:ascii="Calibri" w:eastAsia="Times New Roman" w:hAnsi="Calibri"/>
                <w:b/>
                <w:bCs/>
                <w:color w:val="000000"/>
              </w:rPr>
              <w:t>Description</w:t>
            </w:r>
          </w:p>
        </w:tc>
      </w:tr>
      <w:tr w:rsidR="00690FFF" w:rsidRPr="00690FFF" w14:paraId="4DBD904B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5D2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1A2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2FD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v8772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D1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8C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Luciferin-ME; substrate for 1A2 </w:t>
            </w:r>
          </w:p>
        </w:tc>
      </w:tr>
      <w:tr w:rsidR="00690FFF" w:rsidRPr="00690FFF" w14:paraId="3DEDE572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7F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B9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C9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9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1A2 enzyme system</w:t>
            </w:r>
          </w:p>
        </w:tc>
      </w:tr>
      <w:tr w:rsidR="00690FFF" w:rsidRPr="00690FFF" w14:paraId="07CBE9EE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146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3B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N3633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22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4D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naphthoflavone; control inhibitor</w:t>
            </w:r>
          </w:p>
        </w:tc>
      </w:tr>
      <w:tr w:rsidR="00690FFF" w:rsidRPr="00690FFF" w14:paraId="35BD75FC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E2D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F7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6E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8B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Luciferin-H; substrate for 2C9 </w:t>
            </w:r>
          </w:p>
        </w:tc>
      </w:tr>
      <w:tr w:rsidR="00690FFF" w:rsidRPr="00690FFF" w14:paraId="356A132D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12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8D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v4790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D8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308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2C9 enzyme system</w:t>
            </w:r>
          </w:p>
        </w:tc>
      </w:tr>
      <w:tr w:rsidR="00690FFF" w:rsidRPr="00690FFF" w14:paraId="6351809B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63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5A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S0758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6A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F3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690FFF">
              <w:rPr>
                <w:rFonts w:ascii="Calibri" w:eastAsia="Times New Roman" w:hAnsi="Calibri"/>
                <w:color w:val="000000"/>
              </w:rPr>
              <w:t>sulfaphenazole</w:t>
            </w:r>
            <w:proofErr w:type="spellEnd"/>
            <w:r w:rsidRPr="00690FFF">
              <w:rPr>
                <w:rFonts w:ascii="Calibri" w:eastAsia="Times New Roman" w:hAnsi="Calibri"/>
                <w:color w:val="000000"/>
              </w:rPr>
              <w:t>, control inhibitor</w:t>
            </w:r>
          </w:p>
        </w:tc>
      </w:tr>
      <w:tr w:rsidR="00690FFF" w:rsidRPr="00690FFF" w14:paraId="7F42CD4D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7BE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lastRenderedPageBreak/>
              <w:t>2C19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144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v8882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77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A2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 Luciferin-H EGE; substrate for 2C19</w:t>
            </w:r>
          </w:p>
        </w:tc>
      </w:tr>
      <w:tr w:rsidR="00690FFF" w:rsidRPr="00690FFF" w14:paraId="1B59A26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99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7A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213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36B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2C19 enzyme system</w:t>
            </w:r>
          </w:p>
        </w:tc>
      </w:tr>
      <w:tr w:rsidR="00690FFF" w:rsidRPr="00690FFF" w14:paraId="0F47429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50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6C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T2573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D1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28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troglitazone, control inhibitor</w:t>
            </w:r>
          </w:p>
        </w:tc>
      </w:tr>
      <w:tr w:rsidR="00690FFF" w:rsidRPr="00690FFF" w14:paraId="7E671792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AF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2D6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04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v8892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4C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AB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Luciferin-ME EGE; substrate for 2D6 </w:t>
            </w:r>
          </w:p>
        </w:tc>
      </w:tr>
      <w:tr w:rsidR="00690FFF" w:rsidRPr="00690FFF" w14:paraId="1B5A76BB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2FC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CA2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MTOXCE2D6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99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F3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 xml:space="preserve">2D6 enzyme </w:t>
            </w:r>
          </w:p>
        </w:tc>
      </w:tr>
      <w:tr w:rsidR="00690FFF" w:rsidRPr="00690FFF" w14:paraId="1CCD5789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9F5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B1B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Q3626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BBA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E25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quinidine, control inhibitor</w:t>
            </w:r>
          </w:p>
        </w:tc>
      </w:tr>
      <w:tr w:rsidR="00690FFF" w:rsidRPr="00690FFF" w14:paraId="05794558" w14:textId="77777777" w:rsidTr="00690FF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14C" w14:textId="77777777" w:rsidR="00690FFF" w:rsidRPr="00690FFF" w:rsidRDefault="00690FFF" w:rsidP="00690F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3A4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1E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v8912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99DE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C0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PPXE DMSO tolerant substrate</w:t>
            </w:r>
          </w:p>
        </w:tc>
      </w:tr>
      <w:tr w:rsidR="00690FFF" w:rsidRPr="00690FFF" w14:paraId="1D3BB111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A8F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C2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v4910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AD1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Promega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710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enzyme system</w:t>
            </w:r>
          </w:p>
        </w:tc>
      </w:tr>
      <w:tr w:rsidR="00690FFF" w:rsidRPr="00690FFF" w14:paraId="4EFD37DE" w14:textId="77777777" w:rsidTr="00690FFF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91E6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B49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K1003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B57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Sigma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10D" w14:textId="77777777" w:rsidR="00690FFF" w:rsidRPr="00690FFF" w:rsidRDefault="00690FFF" w:rsidP="00690FFF">
            <w:pPr>
              <w:rPr>
                <w:rFonts w:ascii="Calibri" w:eastAsia="Times New Roman" w:hAnsi="Calibri"/>
                <w:color w:val="000000"/>
              </w:rPr>
            </w:pPr>
            <w:r w:rsidRPr="00690FFF">
              <w:rPr>
                <w:rFonts w:ascii="Calibri" w:eastAsia="Times New Roman" w:hAnsi="Calibri"/>
                <w:color w:val="000000"/>
              </w:rPr>
              <w:t>ketoconazole; control inhibitor</w:t>
            </w:r>
          </w:p>
        </w:tc>
      </w:tr>
    </w:tbl>
    <w:p w14:paraId="22D0EA98" w14:textId="77777777" w:rsidR="00690FFF" w:rsidRDefault="00690FFF" w:rsidP="00296F57"/>
    <w:p w14:paraId="387AD2A0" w14:textId="327A54D7" w:rsidR="00DA2670" w:rsidRDefault="00690FFF" w:rsidP="00296F57">
      <w:r>
        <w:t>Assays for f</w:t>
      </w:r>
      <w:r w:rsidR="007E3B89">
        <w:t xml:space="preserve">ive cytochrome P450 enzymes (CYP1A2, CYP2C9, CYP2C19, CYP2D6, and CYP3A4) for their sensitivity to the </w:t>
      </w:r>
      <w:r w:rsidR="002D128D">
        <w:t>test articles</w:t>
      </w:r>
      <w:r w:rsidR="007E3B89">
        <w:t xml:space="preserve"> </w:t>
      </w:r>
      <w:r>
        <w:t>were conducted as biochemical,</w:t>
      </w:r>
      <w:r w:rsidR="007E3B89">
        <w:t xml:space="preserve"> </w:t>
      </w:r>
      <w:r w:rsidR="007E3B89">
        <w:rPr>
          <w:i/>
        </w:rPr>
        <w:t>in vitro</w:t>
      </w:r>
      <w:r w:rsidR="007E3B89">
        <w:t xml:space="preserve"> assay</w:t>
      </w:r>
      <w:r>
        <w:t>s</w:t>
      </w:r>
      <w:r w:rsidR="007E3B89">
        <w:t xml:space="preserve">. Briefly, a membrane-enzyme preparation containing one of the CYP450 enzymes </w:t>
      </w:r>
      <w:r>
        <w:t xml:space="preserve">was </w:t>
      </w:r>
      <w:r w:rsidR="007E3B89">
        <w:t>incubated with a substrate metabolized by that enzyme</w:t>
      </w:r>
      <w:r w:rsidR="005548D1">
        <w:t xml:space="preserve">. The substrate, when acted upon by the CYP450 enzyme, </w:t>
      </w:r>
      <w:r w:rsidR="00937BF2">
        <w:t>converts</w:t>
      </w:r>
      <w:r w:rsidR="005548D1">
        <w:t xml:space="preserve"> to a for</w:t>
      </w:r>
      <w:r w:rsidR="0013409E">
        <w:t>m which luminesces</w:t>
      </w:r>
      <w:r w:rsidR="005548D1">
        <w:t xml:space="preserve"> in the presence of luciferase; the substrate </w:t>
      </w:r>
      <w:r w:rsidR="00EA1E5E">
        <w:t xml:space="preserve">does </w:t>
      </w:r>
      <w:r>
        <w:t>not</w:t>
      </w:r>
      <w:r w:rsidR="005548D1">
        <w:t xml:space="preserve"> luminesce without CYP450 conversion. </w:t>
      </w:r>
      <w:r w:rsidR="00DE470A">
        <w:t xml:space="preserve">These incubations </w:t>
      </w:r>
      <w:r>
        <w:t>took</w:t>
      </w:r>
      <w:r w:rsidR="00DE470A">
        <w:t xml:space="preserve"> place in the presence or absence of the test article. </w:t>
      </w:r>
      <w:r w:rsidR="00285552">
        <w:t>AC-11</w:t>
      </w:r>
      <w:r w:rsidR="00DE470A">
        <w:t xml:space="preserve"> </w:t>
      </w:r>
      <w:r w:rsidR="00FF2EE0">
        <w:t>was</w:t>
      </w:r>
      <w:r w:rsidR="00DE470A">
        <w:t xml:space="preserve"> administered in an eight-step</w:t>
      </w:r>
      <w:r w:rsidR="00FF2EE0">
        <w:t xml:space="preserve"> half-log</w:t>
      </w:r>
      <w:r w:rsidR="00DE470A">
        <w:t xml:space="preserve"> dilution series</w:t>
      </w:r>
      <w:r w:rsidR="00285552">
        <w:t xml:space="preserve"> of </w:t>
      </w:r>
      <w:r w:rsidR="002D128D">
        <w:t>100</w:t>
      </w:r>
      <w:r w:rsidR="00FF2EE0">
        <w:t xml:space="preserve">, </w:t>
      </w:r>
      <w:r w:rsidR="002D128D">
        <w:t>30</w:t>
      </w:r>
      <w:r w:rsidR="00FF2EE0">
        <w:t xml:space="preserve">, </w:t>
      </w:r>
      <w:r w:rsidR="002D128D">
        <w:t>1</w:t>
      </w:r>
      <w:r w:rsidR="00FF2EE0">
        <w:t xml:space="preserve">0, </w:t>
      </w:r>
      <w:r w:rsidR="002D128D">
        <w:t>3</w:t>
      </w:r>
      <w:r w:rsidR="00FF2EE0">
        <w:t xml:space="preserve">, </w:t>
      </w:r>
      <w:r w:rsidR="002D128D">
        <w:t>1</w:t>
      </w:r>
      <w:r w:rsidR="00FF2EE0">
        <w:t xml:space="preserve">, </w:t>
      </w:r>
      <w:r w:rsidR="002D128D">
        <w:t>0.3</w:t>
      </w:r>
      <w:r w:rsidR="00FF2EE0">
        <w:t>, 0.</w:t>
      </w:r>
      <w:r w:rsidR="002D128D">
        <w:t>1</w:t>
      </w:r>
      <w:r w:rsidR="00FF2EE0">
        <w:t>, and 0.</w:t>
      </w:r>
      <w:r w:rsidR="00285552">
        <w:t>03</w:t>
      </w:r>
      <w:r w:rsidR="00FF2EE0">
        <w:t xml:space="preserve"> </w:t>
      </w:r>
      <w:r w:rsidR="00FF2EE0">
        <w:rPr>
          <w:rFonts w:ascii="Calibri" w:hAnsi="Calibri"/>
        </w:rPr>
        <w:t>µ</w:t>
      </w:r>
      <w:r w:rsidR="00FF2EE0">
        <w:t>g/mL</w:t>
      </w:r>
      <w:r w:rsidR="00DE470A">
        <w:t>.</w:t>
      </w:r>
      <w:r w:rsidR="00DB298C">
        <w:t xml:space="preserve"> Each control inhibitor</w:t>
      </w:r>
      <w:r w:rsidR="00285552">
        <w:t xml:space="preserve"> o</w:t>
      </w:r>
      <w:r w:rsidR="002E38D3">
        <w:t>r pure compound for combination</w:t>
      </w:r>
      <w:r w:rsidR="00DB298C">
        <w:t xml:space="preserve"> </w:t>
      </w:r>
      <w:r w:rsidR="002E38D3">
        <w:t>was administered in an eight</w:t>
      </w:r>
      <w:r w:rsidR="00C13A91">
        <w:t xml:space="preserve">-step half-log </w:t>
      </w:r>
      <w:r w:rsidR="00285552">
        <w:t xml:space="preserve">dilution series of </w:t>
      </w:r>
      <w:r w:rsidR="00C13A91">
        <w:t xml:space="preserve">10, 3, 1, 0.3, 0.1, 0.03, </w:t>
      </w:r>
      <w:r w:rsidR="00285552">
        <w:t xml:space="preserve">0.01, and 0.003 </w:t>
      </w:r>
      <w:r w:rsidR="00285552">
        <w:rPr>
          <w:rFonts w:ascii="Calibri" w:hAnsi="Calibri"/>
        </w:rPr>
        <w:t>µ</w:t>
      </w:r>
      <w:r w:rsidR="00285552">
        <w:t>g/mL</w:t>
      </w:r>
      <w:r w:rsidR="00C13A91">
        <w:rPr>
          <w:rFonts w:ascii="Calibri" w:hAnsi="Calibri"/>
        </w:rPr>
        <w:t>).</w:t>
      </w:r>
      <w:r w:rsidR="005671BD">
        <w:t xml:space="preserve"> All assays were carried out according to the manufacturer’s recommendations, with the following exception; the 2D6 enzyme was used at a</w:t>
      </w:r>
      <w:r w:rsidR="000A0251">
        <w:t xml:space="preserve"> concentration of 10mg/mL. </w:t>
      </w:r>
      <w:r w:rsidR="00D736EF">
        <w:t xml:space="preserve">Assays were run in duplicate in half-volume, white, non-treated, 96-well plates (Costar 3693). </w:t>
      </w:r>
      <w:r w:rsidR="00DE470A">
        <w:t>Following</w:t>
      </w:r>
      <w:r w:rsidR="000A0251">
        <w:t xml:space="preserve"> assay</w:t>
      </w:r>
      <w:r w:rsidR="00DE470A">
        <w:t xml:space="preserve"> incubation, the CYP450 reaction </w:t>
      </w:r>
      <w:r w:rsidR="000A0251">
        <w:t xml:space="preserve">was halted with a </w:t>
      </w:r>
      <w:r w:rsidR="00DE470A">
        <w:t xml:space="preserve">luciferase </w:t>
      </w:r>
      <w:r w:rsidR="000A0251">
        <w:t xml:space="preserve">detection reagent, and activity/luminescence was measured on an Envision plate reader (Perkin Elmer). </w:t>
      </w:r>
    </w:p>
    <w:p w14:paraId="2598180F" w14:textId="77777777" w:rsidR="0059761C" w:rsidRDefault="0059761C" w:rsidP="00296F57"/>
    <w:p w14:paraId="56DFD003" w14:textId="0E9C79D6" w:rsidR="0059761C" w:rsidRPr="0059761C" w:rsidRDefault="0059761C" w:rsidP="00296F57">
      <w:pPr>
        <w:rPr>
          <w:b/>
        </w:rPr>
      </w:pPr>
      <w:r w:rsidRPr="0059761C">
        <w:rPr>
          <w:b/>
        </w:rPr>
        <w:t>Graph generation and IC</w:t>
      </w:r>
      <w:r w:rsidRPr="0059761C">
        <w:rPr>
          <w:b/>
          <w:vertAlign w:val="subscript"/>
        </w:rPr>
        <w:t>50</w:t>
      </w:r>
      <w:r w:rsidRPr="0059761C">
        <w:rPr>
          <w:b/>
        </w:rPr>
        <w:t xml:space="preserve"> analysis</w:t>
      </w:r>
    </w:p>
    <w:p w14:paraId="633BF7C0" w14:textId="4CA64860" w:rsidR="0059761C" w:rsidRDefault="0059761C" w:rsidP="00296F57">
      <w:r>
        <w:t>Data was input into Prism 7 (</w:t>
      </w:r>
      <w:proofErr w:type="spellStart"/>
      <w:r>
        <w:t>Graphpad</w:t>
      </w:r>
      <w:proofErr w:type="spellEnd"/>
      <w:r>
        <w:t>), and IC</w:t>
      </w:r>
      <w:r w:rsidRPr="0059761C">
        <w:rPr>
          <w:vertAlign w:val="subscript"/>
        </w:rPr>
        <w:t>50</w:t>
      </w:r>
      <w:r>
        <w:t xml:space="preserve"> values were calculated using log transformed x (concentration) values, using a four-parameter non-linear regression least squares m</w:t>
      </w:r>
      <w:r w:rsidR="004F075B">
        <w:t>odel</w:t>
      </w:r>
      <w:r>
        <w:t>. Data was also plotted by Prism 7.</w:t>
      </w:r>
    </w:p>
    <w:p w14:paraId="5AEF0C5B" w14:textId="77777777" w:rsidR="00DE470A" w:rsidRDefault="00DE470A" w:rsidP="00296F57"/>
    <w:p w14:paraId="01A3F7E3" w14:textId="77777777" w:rsidR="002E38D3" w:rsidRPr="002E38D3" w:rsidRDefault="002E38D3" w:rsidP="002E38D3">
      <w:pPr>
        <w:rPr>
          <w:b/>
        </w:rPr>
      </w:pPr>
      <w:r w:rsidRPr="002E38D3">
        <w:rPr>
          <w:b/>
        </w:rPr>
        <w:t>Combination Index Calculations</w:t>
      </w:r>
    </w:p>
    <w:p w14:paraId="0A69811B" w14:textId="06833280" w:rsidR="002E38D3" w:rsidRDefault="002E38D3" w:rsidP="002E38D3">
      <w:r>
        <w:t xml:space="preserve">Combination Indices were calculated using </w:t>
      </w:r>
      <w:proofErr w:type="spellStart"/>
      <w:r w:rsidRPr="00F126F9">
        <w:t>CompuSyn</w:t>
      </w:r>
      <w:proofErr w:type="spellEnd"/>
      <w:r w:rsidRPr="00F126F9">
        <w:t xml:space="preserve"> software, V. </w:t>
      </w:r>
      <w:r>
        <w:t>1</w:t>
      </w:r>
      <w:r w:rsidRPr="00F126F9">
        <w:t>.0 (</w:t>
      </w:r>
      <w:proofErr w:type="spellStart"/>
      <w:r w:rsidRPr="00F126F9">
        <w:t>Biosoft</w:t>
      </w:r>
      <w:proofErr w:type="spellEnd"/>
      <w:r w:rsidRPr="00F126F9">
        <w:t>, Cambridge, UK). Drug interactions were classified by determining a combination index (CI) recognized as the standard measure of combination effect based on the Chou-</w:t>
      </w:r>
      <w:proofErr w:type="spellStart"/>
      <w:r w:rsidRPr="00F126F9">
        <w:t>Talalay</w:t>
      </w:r>
      <w:proofErr w:type="spellEnd"/>
      <w:r w:rsidRPr="00F126F9">
        <w:t xml:space="preserve"> method. The CI values were obtained over a range of fractional </w:t>
      </w:r>
      <w:r w:rsidR="00DD72C7">
        <w:t>enzyme inhibition</w:t>
      </w:r>
      <w:r w:rsidR="00CD4115">
        <w:t xml:space="preserve"> levels (Fa), b</w:t>
      </w:r>
      <w:r w:rsidRPr="00F126F9">
        <w:t>ased on the Chou-</w:t>
      </w:r>
      <w:proofErr w:type="spellStart"/>
      <w:r w:rsidRPr="00F126F9">
        <w:t>Talalay</w:t>
      </w:r>
      <w:proofErr w:type="spellEnd"/>
      <w:r w:rsidRPr="00F126F9">
        <w:t xml:space="preserve"> method</w:t>
      </w:r>
      <w:r w:rsidR="00CD4115">
        <w:t xml:space="preserve"> </w:t>
      </w:r>
      <w:r w:rsidRPr="00F126F9">
        <w:t>(</w:t>
      </w:r>
      <w:r w:rsidR="00CD4115">
        <w:t xml:space="preserve">Ref. </w:t>
      </w:r>
      <w:r>
        <w:t>1,2</w:t>
      </w:r>
      <w:r w:rsidRPr="00F126F9">
        <w:t>,</w:t>
      </w:r>
      <w:r>
        <w:t>3</w:t>
      </w:r>
      <w:r w:rsidRPr="00F126F9">
        <w:t>,</w:t>
      </w:r>
      <w:r>
        <w:t>4</w:t>
      </w:r>
      <w:r w:rsidRPr="00F126F9">
        <w:t xml:space="preserve">), CI &lt; 1 means synergism, CI = 1 means additivity, and CI &gt; 1 is interpreted as antagonism. </w:t>
      </w:r>
    </w:p>
    <w:p w14:paraId="0C8AA0C9" w14:textId="77777777" w:rsidR="002E38D3" w:rsidRDefault="002E38D3" w:rsidP="002E38D3"/>
    <w:p w14:paraId="3D46F1EF" w14:textId="77777777" w:rsidR="002E38D3" w:rsidRDefault="002E38D3" w:rsidP="002E38D3">
      <w:r>
        <w:t xml:space="preserve">1. Chou TC, </w:t>
      </w:r>
      <w:proofErr w:type="spellStart"/>
      <w:r>
        <w:t>Talalay</w:t>
      </w:r>
      <w:proofErr w:type="spellEnd"/>
      <w:r>
        <w:t xml:space="preserve"> P. Quantitative analysis of dose-effect relationships: the combined effects of multiple drugs or enzyme inhibitors. Adv Enzyme </w:t>
      </w:r>
      <w:proofErr w:type="spellStart"/>
      <w:r>
        <w:t>Regul</w:t>
      </w:r>
      <w:proofErr w:type="spellEnd"/>
      <w:r>
        <w:t>. 1984;22:27–55. [PubMed]</w:t>
      </w:r>
    </w:p>
    <w:p w14:paraId="65BC34C7" w14:textId="77777777" w:rsidR="002E38D3" w:rsidRDefault="002E38D3" w:rsidP="002E38D3">
      <w:r>
        <w:t xml:space="preserve">2. Chou TC, </w:t>
      </w:r>
      <w:proofErr w:type="spellStart"/>
      <w:r>
        <w:t>Talalay</w:t>
      </w:r>
      <w:proofErr w:type="spellEnd"/>
      <w:r>
        <w:t xml:space="preserve"> P. Analysis of combined drug effects: a new look at a very old problem. Trends </w:t>
      </w:r>
      <w:proofErr w:type="spellStart"/>
      <w:r>
        <w:t>Pharmacol</w:t>
      </w:r>
      <w:proofErr w:type="spellEnd"/>
      <w:r>
        <w:t xml:space="preserve"> Sci. 1983;4:450–454.</w:t>
      </w:r>
    </w:p>
    <w:p w14:paraId="00419B73" w14:textId="77777777" w:rsidR="002E38D3" w:rsidRDefault="002E38D3" w:rsidP="002E38D3">
      <w:r>
        <w:t xml:space="preserve">3. </w:t>
      </w:r>
      <w:proofErr w:type="spellStart"/>
      <w:r>
        <w:t>Flis</w:t>
      </w:r>
      <w:proofErr w:type="spellEnd"/>
      <w:r>
        <w:t xml:space="preserve"> S, </w:t>
      </w:r>
      <w:proofErr w:type="spellStart"/>
      <w:r>
        <w:t>Splawinski</w:t>
      </w:r>
      <w:proofErr w:type="spellEnd"/>
      <w:r>
        <w:t xml:space="preserve"> J. Inhibitory effects of 5- fluorouracil and oxaliplatin on human colorectal cancer cell survival are synergistically enhanced by </w:t>
      </w:r>
      <w:proofErr w:type="spellStart"/>
      <w:r>
        <w:t>sulindac</w:t>
      </w:r>
      <w:proofErr w:type="spellEnd"/>
      <w:r>
        <w:t xml:space="preserve"> sulfide. Anticancer Res. 2009;29(1):435–441. [PubMed]</w:t>
      </w:r>
    </w:p>
    <w:p w14:paraId="6FF5467E" w14:textId="77777777" w:rsidR="002E38D3" w:rsidRDefault="002E38D3" w:rsidP="002E38D3">
      <w:r>
        <w:lastRenderedPageBreak/>
        <w:t xml:space="preserve">4. </w:t>
      </w:r>
      <w:proofErr w:type="spellStart"/>
      <w:r>
        <w:t>Flis</w:t>
      </w:r>
      <w:proofErr w:type="spellEnd"/>
      <w:r>
        <w:t xml:space="preserve"> S, </w:t>
      </w:r>
      <w:proofErr w:type="spellStart"/>
      <w:r>
        <w:t>Gnyszka</w:t>
      </w:r>
      <w:proofErr w:type="spellEnd"/>
      <w:r>
        <w:t xml:space="preserve"> A, </w:t>
      </w:r>
      <w:proofErr w:type="spellStart"/>
      <w:r>
        <w:t>Misiewicz-Krzeminska</w:t>
      </w:r>
      <w:proofErr w:type="spellEnd"/>
      <w:r>
        <w:t xml:space="preserve"> I, </w:t>
      </w:r>
      <w:proofErr w:type="spellStart"/>
      <w:r>
        <w:t>Spławinski</w:t>
      </w:r>
      <w:proofErr w:type="spellEnd"/>
      <w:r>
        <w:t xml:space="preserve"> J. </w:t>
      </w:r>
      <w:proofErr w:type="spellStart"/>
      <w:r>
        <w:t>Decytabine</w:t>
      </w:r>
      <w:proofErr w:type="spellEnd"/>
      <w:r>
        <w:t xml:space="preserve"> enhances cytotoxicity induced by oxaliplatin and 5-fluorouracil in the colorectal cancer cell line Colo-205. Cancer Cell Int. 2009;9:10. </w:t>
      </w:r>
      <w:proofErr w:type="spellStart"/>
      <w:r>
        <w:t>doi</w:t>
      </w:r>
      <w:proofErr w:type="spellEnd"/>
      <w:r>
        <w:t>: 10.1186/1475-2867-9-10. [PMC free article] [PubMed]</w:t>
      </w:r>
    </w:p>
    <w:p w14:paraId="0B0CB5B8" w14:textId="77777777" w:rsidR="002E38D3" w:rsidRDefault="002E38D3" w:rsidP="00296F57"/>
    <w:p w14:paraId="3CB9FD33" w14:textId="6C4B9572" w:rsidR="00776674" w:rsidRDefault="000A0251" w:rsidP="00776674">
      <w:pPr>
        <w:pStyle w:val="Heading1"/>
      </w:pPr>
      <w:r>
        <w:t>Results</w:t>
      </w:r>
      <w:r w:rsidR="0059761C">
        <w:t xml:space="preserve"> and Discussion</w:t>
      </w:r>
    </w:p>
    <w:p w14:paraId="46336784" w14:textId="787DE2F6" w:rsidR="00776674" w:rsidRDefault="001B186A" w:rsidP="00776674">
      <w:r>
        <w:t>C</w:t>
      </w:r>
      <w:r w:rsidR="004F075B">
        <w:t>YP</w:t>
      </w:r>
      <w:r w:rsidR="003E30D7">
        <w:t xml:space="preserve"> </w:t>
      </w:r>
      <w:r w:rsidR="0059761C">
        <w:t>assays were performed as described in the materials and methods</w:t>
      </w:r>
      <w:r w:rsidR="0059761C">
        <w:rPr>
          <w:rFonts w:ascii="Calibri" w:hAnsi="Calibri"/>
        </w:rPr>
        <w:t xml:space="preserve">. </w:t>
      </w:r>
      <w:r w:rsidR="00687F6A">
        <w:rPr>
          <w:rFonts w:ascii="Calibri" w:hAnsi="Calibri"/>
        </w:rPr>
        <w:t>The effect of each duplicate for each concentration is recorde</w:t>
      </w:r>
      <w:r w:rsidR="00CD4115">
        <w:rPr>
          <w:rFonts w:ascii="Calibri" w:hAnsi="Calibri"/>
        </w:rPr>
        <w:t>d in an</w:t>
      </w:r>
      <w:r w:rsidR="00687F6A">
        <w:rPr>
          <w:rFonts w:ascii="Calibri" w:hAnsi="Calibri"/>
        </w:rPr>
        <w:t xml:space="preserve"> excel sheet that was sent separately (titled, “LV-33_CYP_testing</w:t>
      </w:r>
      <w:r w:rsidR="00437912">
        <w:rPr>
          <w:rFonts w:ascii="Calibri" w:hAnsi="Calibri"/>
        </w:rPr>
        <w:t>.xlsx</w:t>
      </w:r>
      <w:r w:rsidR="00687F6A">
        <w:rPr>
          <w:rFonts w:ascii="Calibri" w:hAnsi="Calibri"/>
        </w:rPr>
        <w:t xml:space="preserve">”). </w:t>
      </w:r>
      <w:r w:rsidR="004F075B">
        <w:rPr>
          <w:rFonts w:ascii="Calibri" w:hAnsi="Calibri"/>
        </w:rPr>
        <w:t>CYP1A2</w:t>
      </w:r>
      <w:r w:rsidR="003E30D7">
        <w:rPr>
          <w:rFonts w:ascii="Calibri" w:hAnsi="Calibri"/>
        </w:rPr>
        <w:t>, 2C9, 2C19, 3A4, and 2D6</w:t>
      </w:r>
      <w:r w:rsidR="004F075B">
        <w:rPr>
          <w:rFonts w:ascii="Calibri" w:hAnsi="Calibri"/>
        </w:rPr>
        <w:t xml:space="preserve"> enzymatic activity is </w:t>
      </w:r>
      <w:r w:rsidR="003E30D7">
        <w:rPr>
          <w:rFonts w:ascii="Calibri" w:hAnsi="Calibri"/>
        </w:rPr>
        <w:t>depicted graphically</w:t>
      </w:r>
      <w:r w:rsidR="004F075B">
        <w:rPr>
          <w:rFonts w:ascii="Calibri" w:hAnsi="Calibri"/>
        </w:rPr>
        <w:t xml:space="preserve"> in </w:t>
      </w:r>
      <w:r w:rsidR="004F075B" w:rsidRPr="003E30D7">
        <w:rPr>
          <w:rFonts w:ascii="Calibri" w:hAnsi="Calibri"/>
          <w:b/>
        </w:rPr>
        <w:t>Figure</w:t>
      </w:r>
      <w:r w:rsidR="003E30D7" w:rsidRPr="003E30D7">
        <w:rPr>
          <w:rFonts w:ascii="Calibri" w:hAnsi="Calibri"/>
          <w:b/>
        </w:rPr>
        <w:t>s</w:t>
      </w:r>
      <w:r w:rsidR="004F075B" w:rsidRPr="003E30D7">
        <w:rPr>
          <w:rFonts w:ascii="Calibri" w:hAnsi="Calibri"/>
          <w:b/>
        </w:rPr>
        <w:t xml:space="preserve"> 1</w:t>
      </w:r>
      <w:r w:rsidR="003E30D7" w:rsidRPr="003E30D7">
        <w:rPr>
          <w:rFonts w:ascii="Calibri" w:hAnsi="Calibri"/>
          <w:b/>
        </w:rPr>
        <w:t>-5</w:t>
      </w:r>
      <w:r w:rsidR="003E30D7">
        <w:rPr>
          <w:rFonts w:ascii="Calibri" w:hAnsi="Calibri"/>
        </w:rPr>
        <w:t>, respectively</w:t>
      </w:r>
      <w:r w:rsidR="004F075B">
        <w:rPr>
          <w:rFonts w:ascii="Calibri" w:hAnsi="Calibri"/>
        </w:rPr>
        <w:t xml:space="preserve">. </w:t>
      </w:r>
      <w:r w:rsidR="0059761C">
        <w:rPr>
          <w:rFonts w:ascii="Calibri" w:hAnsi="Calibri"/>
        </w:rPr>
        <w:t xml:space="preserve"> </w:t>
      </w:r>
      <w:r w:rsidR="0059761C">
        <w:t xml:space="preserve"> </w:t>
      </w:r>
    </w:p>
    <w:p w14:paraId="61B118A3" w14:textId="77777777" w:rsidR="007F14A3" w:rsidRDefault="007F14A3" w:rsidP="00776674"/>
    <w:p w14:paraId="47001BFB" w14:textId="4AFC8213" w:rsidR="003E30D7" w:rsidRDefault="00285552" w:rsidP="00776674">
      <w:r>
        <w:rPr>
          <w:noProof/>
        </w:rPr>
        <w:drawing>
          <wp:inline distT="0" distB="0" distL="0" distR="0" wp14:anchorId="5F1DEF35" wp14:editId="1A6E9C26">
            <wp:extent cx="5524500" cy="28194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75B">
        <w:br/>
      </w:r>
      <w:r w:rsidR="004F075B" w:rsidRPr="004F075B">
        <w:rPr>
          <w:b/>
        </w:rPr>
        <w:t>Figure 1</w:t>
      </w:r>
      <w:r w:rsidR="004F075B">
        <w:t xml:space="preserve">. CYP1A2 activity. </w:t>
      </w:r>
      <w:r w:rsidR="00382741">
        <w:t xml:space="preserve">X-axis in log scale. </w:t>
      </w:r>
      <w:r w:rsidR="003E30D7">
        <w:br/>
      </w:r>
      <w:r w:rsidR="003E30D7">
        <w:br/>
      </w:r>
      <w:r>
        <w:rPr>
          <w:noProof/>
        </w:rPr>
        <w:drawing>
          <wp:inline distT="0" distB="0" distL="0" distR="0" wp14:anchorId="552AC983" wp14:editId="658187EB">
            <wp:extent cx="5092700" cy="2819400"/>
            <wp:effectExtent l="0" t="0" r="1270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0D7">
        <w:br/>
      </w:r>
      <w:r w:rsidR="003E30D7" w:rsidRPr="004F075B">
        <w:rPr>
          <w:b/>
        </w:rPr>
        <w:t xml:space="preserve">Figure </w:t>
      </w:r>
      <w:r w:rsidR="003E30D7">
        <w:rPr>
          <w:b/>
        </w:rPr>
        <w:t>2</w:t>
      </w:r>
      <w:r>
        <w:t>. CYP2C</w:t>
      </w:r>
      <w:r w:rsidR="003E30D7">
        <w:t xml:space="preserve">9 activity. X-axis in log scale. </w:t>
      </w:r>
    </w:p>
    <w:p w14:paraId="6FDADF53" w14:textId="77777777" w:rsidR="003E30D7" w:rsidRDefault="003E30D7" w:rsidP="00776674"/>
    <w:p w14:paraId="1D5D4859" w14:textId="77777777" w:rsidR="00285552" w:rsidRDefault="00285552" w:rsidP="00776674">
      <w:pPr>
        <w:rPr>
          <w:b/>
        </w:rPr>
      </w:pPr>
      <w:r>
        <w:rPr>
          <w:noProof/>
        </w:rPr>
        <w:drawing>
          <wp:inline distT="0" distB="0" distL="0" distR="0" wp14:anchorId="0563FD43" wp14:editId="67F7A3D1">
            <wp:extent cx="4864100" cy="2819400"/>
            <wp:effectExtent l="0" t="0" r="1270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075B">
        <w:rPr>
          <w:b/>
        </w:rPr>
        <w:t xml:space="preserve"> </w:t>
      </w:r>
    </w:p>
    <w:p w14:paraId="4306BEB7" w14:textId="1EAD3D93" w:rsidR="007F14A3" w:rsidRDefault="003E30D7" w:rsidP="00776674">
      <w:r w:rsidRPr="004F075B">
        <w:rPr>
          <w:b/>
        </w:rPr>
        <w:t xml:space="preserve">Figure </w:t>
      </w:r>
      <w:r>
        <w:rPr>
          <w:b/>
        </w:rPr>
        <w:t>3</w:t>
      </w:r>
      <w:r>
        <w:t>. CYP2C19 activity. X-axis in log scale.</w:t>
      </w:r>
    </w:p>
    <w:p w14:paraId="0EB0F473" w14:textId="15B8A50B" w:rsidR="007F14A3" w:rsidRDefault="007F14A3" w:rsidP="00776674"/>
    <w:p w14:paraId="359E9859" w14:textId="2B24FEAA" w:rsidR="007F14A3" w:rsidRDefault="00904C2E" w:rsidP="00776674">
      <w:r w:rsidRPr="00904C2E">
        <w:rPr>
          <w:noProof/>
        </w:rPr>
        <w:drawing>
          <wp:inline distT="0" distB="0" distL="0" distR="0" wp14:anchorId="454A9600" wp14:editId="59695A76">
            <wp:extent cx="55372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3810" w14:textId="244734DC" w:rsidR="007F14A3" w:rsidRDefault="003E30D7" w:rsidP="00776674">
      <w:r w:rsidRPr="004F075B">
        <w:rPr>
          <w:b/>
        </w:rPr>
        <w:t xml:space="preserve">Figure </w:t>
      </w:r>
      <w:r>
        <w:rPr>
          <w:b/>
        </w:rPr>
        <w:t>4</w:t>
      </w:r>
      <w:r>
        <w:t>. CYP3A4 activity. X-axis in log scale.</w:t>
      </w:r>
      <w:r w:rsidR="00B35838">
        <w:t xml:space="preserve"> * For this graph, each data point for single agents corresponds to the correct concentration. However, for the combinations the concentration shown on the point</w:t>
      </w:r>
      <w:r w:rsidR="00EA1DD8">
        <w:t>s in the graph are</w:t>
      </w:r>
      <w:r w:rsidR="00B35838">
        <w:t xml:space="preserve"> the concentration</w:t>
      </w:r>
      <w:r w:rsidR="00EA1DD8">
        <w:t>s of the compounds being combined with AC-11 (since the single species compounds are</w:t>
      </w:r>
      <w:r w:rsidR="00674871">
        <w:t xml:space="preserve"> typically</w:t>
      </w:r>
      <w:r w:rsidR="00EA1DD8">
        <w:t xml:space="preserve"> more potent than blends)(i.e. for the combinations at 10</w:t>
      </w:r>
      <w:r w:rsidR="00FC5485">
        <w:rPr>
          <w:rFonts w:ascii="Calibri" w:hAnsi="Calibri"/>
        </w:rPr>
        <w:t>µ</w:t>
      </w:r>
      <w:r w:rsidR="00EA1DD8">
        <w:t>g/mL, it is 10</w:t>
      </w:r>
      <w:r w:rsidR="00FC5485">
        <w:rPr>
          <w:rFonts w:ascii="Calibri" w:hAnsi="Calibri"/>
        </w:rPr>
        <w:t>µ</w:t>
      </w:r>
      <w:r w:rsidR="00EA1DD8">
        <w:t>g/mL of the drug added for combination, and 100</w:t>
      </w:r>
      <w:r w:rsidR="00FC5485">
        <w:rPr>
          <w:rFonts w:ascii="Calibri" w:hAnsi="Calibri"/>
        </w:rPr>
        <w:t>µ</w:t>
      </w:r>
      <w:r w:rsidR="00EA1DD8">
        <w:t>g/mL of AC-11).</w:t>
      </w:r>
      <w:r w:rsidR="00B35838">
        <w:t xml:space="preserve"> </w:t>
      </w:r>
    </w:p>
    <w:p w14:paraId="52331CEC" w14:textId="29DDC5CF" w:rsidR="007F14A3" w:rsidRDefault="007F14A3" w:rsidP="00776674"/>
    <w:p w14:paraId="0DE96AFF" w14:textId="3868F14B" w:rsidR="007F14A3" w:rsidRDefault="00285552" w:rsidP="00776674">
      <w:r>
        <w:rPr>
          <w:noProof/>
        </w:rPr>
        <w:lastRenderedPageBreak/>
        <w:drawing>
          <wp:inline distT="0" distB="0" distL="0" distR="0" wp14:anchorId="2CFDAAC1" wp14:editId="1A8C8628">
            <wp:extent cx="5359400" cy="2451100"/>
            <wp:effectExtent l="0" t="0" r="0" b="1270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2287" w14:textId="74AA43DE" w:rsidR="00A67CE1" w:rsidRDefault="003E30D7" w:rsidP="00776674">
      <w:r w:rsidRPr="004F075B">
        <w:rPr>
          <w:b/>
        </w:rPr>
        <w:t xml:space="preserve">Figure </w:t>
      </w:r>
      <w:r>
        <w:rPr>
          <w:b/>
        </w:rPr>
        <w:t>5</w:t>
      </w:r>
      <w:r>
        <w:t>. CYP2D6 activity. X-axis in log scale.</w:t>
      </w:r>
    </w:p>
    <w:p w14:paraId="6E1DDAD1" w14:textId="77777777" w:rsidR="003E30D7" w:rsidRDefault="003E30D7" w:rsidP="00776674"/>
    <w:p w14:paraId="0A606ABB" w14:textId="56844F3C" w:rsidR="003E30D7" w:rsidRDefault="003E30D7" w:rsidP="00776674">
      <w:r>
        <w:t>Curve fitting software was used to identify the concentration of each test article that inhibited the CYP activity by 50% (IC</w:t>
      </w:r>
      <w:r w:rsidRPr="003E30D7">
        <w:rPr>
          <w:vertAlign w:val="subscript"/>
        </w:rPr>
        <w:t xml:space="preserve">50 </w:t>
      </w:r>
      <w:r>
        <w:t>value). These IC</w:t>
      </w:r>
      <w:r w:rsidRPr="003E30D7">
        <w:rPr>
          <w:vertAlign w:val="subscript"/>
        </w:rPr>
        <w:t>50</w:t>
      </w:r>
      <w:r>
        <w:t xml:space="preserve"> values are </w:t>
      </w:r>
      <w:r w:rsidR="008F794A">
        <w:t>recorded in the accompanying spreadsheet</w:t>
      </w:r>
      <w:r w:rsidR="004C117A">
        <w:t>, where applicable</w:t>
      </w:r>
      <w:r w:rsidR="008F794A">
        <w:t>. Briefly, for the 1A2</w:t>
      </w:r>
      <w:r w:rsidR="00975FFD">
        <w:t xml:space="preserve">, 2C9, </w:t>
      </w:r>
      <w:r w:rsidR="008F794A">
        <w:t>2C19</w:t>
      </w:r>
      <w:r w:rsidR="00975FFD">
        <w:t>, and 2D6</w:t>
      </w:r>
      <w:r w:rsidR="008F794A">
        <w:t xml:space="preserve"> enzymes, AC-11 did not inhibit the enzyme below 50% activity</w:t>
      </w:r>
      <w:r w:rsidR="004C117A">
        <w:t>, even</w:t>
      </w:r>
      <w:r w:rsidR="008F794A">
        <w:t xml:space="preserve"> at the highest dose of 100</w:t>
      </w:r>
      <w:r w:rsidR="008F794A">
        <w:rPr>
          <w:rFonts w:ascii="Calibri" w:hAnsi="Calibri"/>
        </w:rPr>
        <w:t>µ</w:t>
      </w:r>
      <w:r w:rsidR="008F794A">
        <w:t>g/mL. For the 3A4 enzyme, the IC</w:t>
      </w:r>
      <w:r w:rsidR="008F794A" w:rsidRPr="003E30D7">
        <w:rPr>
          <w:vertAlign w:val="subscript"/>
        </w:rPr>
        <w:t>50</w:t>
      </w:r>
      <w:r w:rsidR="008F794A">
        <w:rPr>
          <w:vertAlign w:val="subscript"/>
        </w:rPr>
        <w:t xml:space="preserve"> </w:t>
      </w:r>
      <w:r w:rsidR="008F794A">
        <w:t xml:space="preserve">was </w:t>
      </w:r>
      <w:r w:rsidR="005165A4">
        <w:t xml:space="preserve">calculated at </w:t>
      </w:r>
      <w:r w:rsidR="008F794A">
        <w:t>19.32</w:t>
      </w:r>
      <w:r w:rsidR="008F794A">
        <w:rPr>
          <w:rFonts w:ascii="Calibri" w:hAnsi="Calibri"/>
        </w:rPr>
        <w:t>µ</w:t>
      </w:r>
      <w:r w:rsidR="005165A4">
        <w:t>g/mL</w:t>
      </w:r>
      <w:r w:rsidR="008F794A">
        <w:t xml:space="preserve">. </w:t>
      </w:r>
      <w:r>
        <w:br/>
      </w:r>
    </w:p>
    <w:p w14:paraId="556634E5" w14:textId="5A915C6D" w:rsidR="00674871" w:rsidRDefault="00867C4E" w:rsidP="00C07544">
      <w:r>
        <w:t>Based on these data it appears</w:t>
      </w:r>
      <w:r w:rsidR="00437912">
        <w:t xml:space="preserve"> that AC-11 had little effect on CYP1A2, 2C9, and 2C19</w:t>
      </w:r>
      <w:r w:rsidR="00D22BA2">
        <w:t>.</w:t>
      </w:r>
      <w:r w:rsidR="00437912">
        <w:t xml:space="preserve"> However, AC-11 seemed to increase the activity of CYP3A4 slightly at moderate concentrations, </w:t>
      </w:r>
      <w:r w:rsidR="004C117A">
        <w:t>while inhibiting</w:t>
      </w:r>
      <w:r w:rsidR="00437912">
        <w:t xml:space="preserve"> the enzyme at higher concentrations. C</w:t>
      </w:r>
      <w:r w:rsidR="00CB7A9B">
        <w:t>YP3A4 is probably the most recognizable CYP and the one that is the focus of</w:t>
      </w:r>
      <w:r w:rsidR="003115DC">
        <w:t xml:space="preserve"> many drug interaction studies (since 3A4 metabolizes 45-60% of currently prescribed drugs). </w:t>
      </w:r>
      <w:r w:rsidR="00437912">
        <w:t>Due to this reason, AC-11 was tested in combination with diltiazem, verapamil, and erythromycin</w:t>
      </w:r>
      <w:r w:rsidR="005E076A">
        <w:t xml:space="preserve"> (which are known to have some effect on CYP3A4)</w:t>
      </w:r>
      <w:r w:rsidR="00437912">
        <w:t>. Using a fixed ratio combination, it can be observed that the combinations</w:t>
      </w:r>
      <w:r w:rsidR="005E076A">
        <w:t xml:space="preserve"> with AC-11</w:t>
      </w:r>
      <w:r w:rsidR="00437912">
        <w:t xml:space="preserve"> are not dramatically different than diltiazem, verapamil, and erythromycin </w:t>
      </w:r>
      <w:r w:rsidR="005E076A">
        <w:t>as single agents</w:t>
      </w:r>
      <w:r w:rsidR="00EA1DD8">
        <w:t xml:space="preserve"> (</w:t>
      </w:r>
      <w:r w:rsidR="00EA1DD8" w:rsidRPr="00EA1DD8">
        <w:rPr>
          <w:b/>
        </w:rPr>
        <w:t>Figure 4</w:t>
      </w:r>
      <w:r w:rsidR="00EA1DD8">
        <w:t>)</w:t>
      </w:r>
      <w:r w:rsidR="00437912">
        <w:t>. This is especially evident in comparison</w:t>
      </w:r>
      <w:r w:rsidR="00CB7A9B">
        <w:t xml:space="preserve"> to the positive control ketoconazole.</w:t>
      </w:r>
      <w:r w:rsidR="00EA1DD8">
        <w:t xml:space="preserve"> It should be noted that for combination graphs in this report, each data point for single </w:t>
      </w:r>
      <w:r w:rsidR="00FC5485">
        <w:t>test agents</w:t>
      </w:r>
      <w:r w:rsidR="00EA1DD8">
        <w:t xml:space="preserve"> corresponds to the correct concentration. However, for the combinations the concentration shown on the points in the graph are the concentrations of the compounds being combined with AC-11 (since the single species compounds are more potent than </w:t>
      </w:r>
      <w:r w:rsidR="00FC5485">
        <w:t>AC-11 [</w:t>
      </w:r>
      <w:r w:rsidR="006D0C8E">
        <w:t>which is made of multiple constituents</w:t>
      </w:r>
      <w:r w:rsidR="00FC5485">
        <w:t>]</w:t>
      </w:r>
      <w:r w:rsidR="005E076A">
        <w:t>) (</w:t>
      </w:r>
      <w:r w:rsidR="00EA1DD8">
        <w:t>i.e. for the combinations at 10</w:t>
      </w:r>
      <w:r w:rsidR="00FC5485">
        <w:rPr>
          <w:rFonts w:ascii="Calibri" w:hAnsi="Calibri"/>
        </w:rPr>
        <w:t>µ</w:t>
      </w:r>
      <w:r w:rsidR="00EA1DD8">
        <w:t>g/mL, it is 10</w:t>
      </w:r>
      <w:r w:rsidR="00FC5485">
        <w:rPr>
          <w:rFonts w:ascii="Calibri" w:hAnsi="Calibri"/>
        </w:rPr>
        <w:t>µ</w:t>
      </w:r>
      <w:r w:rsidR="00EA1DD8">
        <w:t>g/mL of the drug added for combination, and 100ug/mL [always a 10-fold higher concentration] of AC-11).</w:t>
      </w:r>
      <w:r w:rsidR="00CB7A9B">
        <w:t xml:space="preserve"> </w:t>
      </w:r>
    </w:p>
    <w:p w14:paraId="441CE898" w14:textId="1D562AE5" w:rsidR="00CB7A9B" w:rsidRDefault="00EA1DD8" w:rsidP="00C07544">
      <w:r>
        <w:t xml:space="preserve">To investigate the combinations even further, combinatorial indices were calculated using the program </w:t>
      </w:r>
      <w:proofErr w:type="spellStart"/>
      <w:r>
        <w:t>Compusyn</w:t>
      </w:r>
      <w:proofErr w:type="spellEnd"/>
      <w:r>
        <w:t>. At concentrations</w:t>
      </w:r>
      <w:r w:rsidR="005E076A">
        <w:t xml:space="preserve"> with a high effect</w:t>
      </w:r>
      <w:r>
        <w:t xml:space="preserve"> (considered the most relevant to the model), the combinations showed more antagonism than synergism (</w:t>
      </w:r>
      <w:r w:rsidRPr="00EA1DD8">
        <w:rPr>
          <w:b/>
        </w:rPr>
        <w:t>Table 2</w:t>
      </w:r>
      <w:r>
        <w:t>)</w:t>
      </w:r>
      <w:r w:rsidR="006D0C8E">
        <w:t>; antagonism</w:t>
      </w:r>
      <w:r w:rsidR="00674871">
        <w:t xml:space="preserve"> shown as CI values &gt;1</w:t>
      </w:r>
      <w:r>
        <w:t xml:space="preserve">.  </w:t>
      </w:r>
    </w:p>
    <w:p w14:paraId="1675CE3B" w14:textId="77777777" w:rsidR="00437912" w:rsidRDefault="00437912" w:rsidP="00C07544"/>
    <w:p w14:paraId="3E1A8759" w14:textId="77777777" w:rsidR="00674871" w:rsidRDefault="00674871">
      <w:pPr>
        <w:spacing w:line="259" w:lineRule="auto"/>
        <w:rPr>
          <w:b/>
        </w:rPr>
      </w:pPr>
      <w:r>
        <w:rPr>
          <w:b/>
        </w:rPr>
        <w:br w:type="page"/>
      </w:r>
    </w:p>
    <w:p w14:paraId="0EDE1958" w14:textId="2DFE4317" w:rsidR="00674871" w:rsidRDefault="00674871" w:rsidP="00C07544">
      <w:r w:rsidRPr="00674871">
        <w:rPr>
          <w:b/>
        </w:rPr>
        <w:lastRenderedPageBreak/>
        <w:t>Table 2</w:t>
      </w:r>
      <w:r>
        <w:t xml:space="preserve">. CI values calculated for combinations with AC-11. (Effective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660"/>
        <w:gridCol w:w="1344"/>
        <w:gridCol w:w="1344"/>
        <w:gridCol w:w="1344"/>
        <w:gridCol w:w="1344"/>
        <w:gridCol w:w="1344"/>
        <w:gridCol w:w="640"/>
      </w:tblGrid>
      <w:tr w:rsidR="00927AEB" w14:paraId="024546CD" w14:textId="77777777" w:rsidTr="00927AEB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B55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D9FF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Effective  Concentration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4BD55F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27AEB" w14:paraId="04355364" w14:textId="77777777" w:rsidTr="00927AEB">
        <w:trPr>
          <w:trHeight w:val="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D2C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Combination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B65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3F7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65D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C62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A31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AC4DE7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27AEB" w14:paraId="0DFC7DB0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6D9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Diltiazem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F52A0E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5B2FE8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49A270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E95D49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AC6EA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1.29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31D8177" w14:textId="77777777" w:rsidR="00927AEB" w:rsidRDefault="00927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CI Values</w:t>
            </w:r>
          </w:p>
        </w:tc>
      </w:tr>
      <w:tr w:rsidR="00927AEB" w14:paraId="6AA3B28F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90B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Verapamil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2665FF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23E10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7C608B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90ABA2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15385A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4.82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7A6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27AEB" w14:paraId="183F5AD6" w14:textId="77777777" w:rsidTr="00927AE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E30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AC-11 + Erythromycin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5B130A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F64B09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A98165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D5D377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1E328D" w14:textId="77777777" w:rsidR="00927AEB" w:rsidRDefault="00927AEB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4.30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3F82" w14:textId="77777777" w:rsidR="00927AEB" w:rsidRDefault="00927AEB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198D4A8" w14:textId="6DEDE418" w:rsidR="005E076A" w:rsidRDefault="005E076A" w:rsidP="00C07544">
      <w:r>
        <w:t>*1=additive; &lt;1 = synergism; &gt;1 = antagonism</w:t>
      </w:r>
    </w:p>
    <w:p w14:paraId="6114F606" w14:textId="2A3232BB" w:rsidR="00927AEB" w:rsidRDefault="00927AEB" w:rsidP="00C07544">
      <w:r>
        <w:t>**(Effective concentration of 90 means compound needed to inhibit the enzyme 90%)</w:t>
      </w:r>
    </w:p>
    <w:p w14:paraId="1AC7369A" w14:textId="77777777" w:rsidR="00674871" w:rsidRDefault="00674871" w:rsidP="00C07544"/>
    <w:p w14:paraId="67075BAE" w14:textId="15F63793" w:rsidR="00C07544" w:rsidRDefault="00CB7A9B" w:rsidP="00C07544">
      <w:pPr>
        <w:rPr>
          <w:rFonts w:eastAsia="Times New Roman"/>
        </w:rPr>
      </w:pPr>
      <w:r>
        <w:t xml:space="preserve">CYP2D6 appeared to be possibly activated by </w:t>
      </w:r>
      <w:r w:rsidR="00927AEB">
        <w:t xml:space="preserve">AC-11 at high concentrations in this particular biochemical assay. </w:t>
      </w:r>
      <w:r w:rsidR="003115DC">
        <w:t>The positive control</w:t>
      </w:r>
      <w:r w:rsidR="00927AEB">
        <w:t xml:space="preserve"> of inhibition</w:t>
      </w:r>
      <w:r w:rsidR="003115DC">
        <w:t xml:space="preserve"> for 2D6 (quinidine), inhibited 50% of 2D6</w:t>
      </w:r>
      <w:r w:rsidR="00927AEB">
        <w:t xml:space="preserve"> </w:t>
      </w:r>
      <w:r w:rsidR="003115DC">
        <w:t>activity at a low concentration of ~</w:t>
      </w:r>
      <w:r w:rsidR="00927AEB">
        <w:t xml:space="preserve">0.01 </w:t>
      </w:r>
      <w:proofErr w:type="spellStart"/>
      <w:r w:rsidR="00927AEB">
        <w:t>ug</w:t>
      </w:r>
      <w:proofErr w:type="spellEnd"/>
      <w:r w:rsidR="00927AEB">
        <w:t>/</w:t>
      </w:r>
      <w:proofErr w:type="spellStart"/>
      <w:r w:rsidR="00927AEB">
        <w:t>mL</w:t>
      </w:r>
      <w:r w:rsidR="003115DC">
        <w:t>.</w:t>
      </w:r>
      <w:proofErr w:type="spellEnd"/>
      <w:r w:rsidR="00927AEB">
        <w:t xml:space="preserve"> To determine if AC-11 enhanced the inhibition of CYP2D6 by Fluoxetine, a combination study was carried out (in a similar fashion to the 3A4 combinations). The curve with </w:t>
      </w:r>
      <w:r w:rsidR="00D356D6">
        <w:t>AC-11 added to Fluoxetine showed less inhibition than Fluoxetine by itself (</w:t>
      </w:r>
      <w:r w:rsidR="00D356D6" w:rsidRPr="00D356D6">
        <w:rPr>
          <w:b/>
        </w:rPr>
        <w:t>Figure 5</w:t>
      </w:r>
      <w:r w:rsidR="00D356D6">
        <w:t xml:space="preserve">) (underscoring the possibility of AC-11 </w:t>
      </w:r>
      <w:r w:rsidR="00EC6CBD">
        <w:t xml:space="preserve">slightly </w:t>
      </w:r>
      <w:r w:rsidR="00D356D6">
        <w:t xml:space="preserve">enhancing </w:t>
      </w:r>
      <w:r w:rsidR="00EC6CBD">
        <w:t>the</w:t>
      </w:r>
      <w:r w:rsidR="00D356D6">
        <w:t xml:space="preserve"> 2D6 biochemical activity). </w:t>
      </w:r>
    </w:p>
    <w:p w14:paraId="4D4FB107" w14:textId="68E652E7" w:rsidR="00867C4E" w:rsidRDefault="00867C4E" w:rsidP="00776674"/>
    <w:p w14:paraId="2D1DF023" w14:textId="77777777" w:rsidR="001B186A" w:rsidRDefault="001B186A" w:rsidP="001B186A">
      <w:pPr>
        <w:pStyle w:val="Heading1"/>
      </w:pPr>
      <w:r>
        <w:t>Conclusions</w:t>
      </w:r>
    </w:p>
    <w:p w14:paraId="0F9190A5" w14:textId="5AE2594B" w:rsidR="002B0787" w:rsidRDefault="001B186A" w:rsidP="001B186A">
      <w:r>
        <w:t xml:space="preserve">Wasatch Scientific has evaluated </w:t>
      </w:r>
      <w:r w:rsidR="008F794A">
        <w:t>AC-11 alone, and in select combinations for its</w:t>
      </w:r>
      <w:r>
        <w:t xml:space="preserve"> ability to impact </w:t>
      </w:r>
      <w:r w:rsidR="00824006">
        <w:t>CYP activity for (5) CYP enzymes in biochemical assays</w:t>
      </w:r>
      <w:r>
        <w:t>.</w:t>
      </w:r>
      <w:r w:rsidR="002B0787">
        <w:t xml:space="preserve"> A separate file with the data for each point of each assay </w:t>
      </w:r>
      <w:r w:rsidR="008F794A">
        <w:t>has been attached separately</w:t>
      </w:r>
      <w:r w:rsidR="002B0787">
        <w:t xml:space="preserve"> (“LV-</w:t>
      </w:r>
      <w:r w:rsidR="008F794A">
        <w:t>33</w:t>
      </w:r>
      <w:r w:rsidR="002B0787">
        <w:t xml:space="preserve">_CYP_testing.xlsx”). </w:t>
      </w:r>
    </w:p>
    <w:p w14:paraId="70923525" w14:textId="302CEFAA" w:rsidR="001B186A" w:rsidRDefault="001F4B1E" w:rsidP="001B186A">
      <w:r>
        <w:t xml:space="preserve">It should be noted that there are several systems, substrates, and methods to test CYP inhibition. In this particular </w:t>
      </w:r>
      <w:r w:rsidR="00EC6CBD">
        <w:t>assay,</w:t>
      </w:r>
      <w:r>
        <w:t xml:space="preserve"> a single recombinant enzyme was used and not liver microsomes, which contain all CYPs and have the associated problem </w:t>
      </w:r>
      <w:r w:rsidR="0019110A">
        <w:t xml:space="preserve">of </w:t>
      </w:r>
      <w:r>
        <w:t>specificity of an enzyme for a particular substrate</w:t>
      </w:r>
      <w:r w:rsidR="0019110A">
        <w:t xml:space="preserve"> (most substrates can me metabolized to a certain extent by multiple CYPs)</w:t>
      </w:r>
      <w:r>
        <w:t>.</w:t>
      </w:r>
      <w:r w:rsidR="0019110A">
        <w:t xml:space="preserve"> </w:t>
      </w:r>
      <w:r w:rsidR="00EC6CBD">
        <w:t>One downside to a biochemical assay is that it does not measure the ability of a substance</w:t>
      </w:r>
      <w:r w:rsidR="002339A9">
        <w:t xml:space="preserve"> to change the expression of a particular</w:t>
      </w:r>
      <w:r w:rsidR="00EC6CBD">
        <w:t xml:space="preserve"> CYP in a living organism (and thus change the activity of the CYP in a less direct manor). Therefore, caution should be taken when interpreting the results, as overall activity in human</w:t>
      </w:r>
      <w:r w:rsidR="002339A9">
        <w:t xml:space="preserve"> subjects</w:t>
      </w:r>
      <w:r w:rsidR="00EC6CBD">
        <w:t xml:space="preserve"> could be different</w:t>
      </w:r>
      <w:r w:rsidR="0019110A">
        <w:t>.</w:t>
      </w:r>
      <w:r>
        <w:t xml:space="preserve"> </w:t>
      </w:r>
      <w:r w:rsidR="001B186A">
        <w:t xml:space="preserve"> </w:t>
      </w:r>
    </w:p>
    <w:p w14:paraId="340DC2C1" w14:textId="77777777" w:rsidR="001B186A" w:rsidRDefault="001B186A" w:rsidP="001B186A"/>
    <w:p w14:paraId="453F31F3" w14:textId="77777777" w:rsidR="001B186A" w:rsidRDefault="001B186A" w:rsidP="001B186A">
      <w:r>
        <w:t>On behalf of Wasatch Scientific Services, I would like to thank you for the opportunity to work on your project, and look forward to working with you in the future.</w:t>
      </w:r>
    </w:p>
    <w:p w14:paraId="246C07FA" w14:textId="77777777" w:rsidR="001B186A" w:rsidRDefault="001B186A" w:rsidP="001B186A"/>
    <w:p w14:paraId="5F7ACD59" w14:textId="77777777" w:rsidR="001B186A" w:rsidRDefault="001B186A" w:rsidP="001B186A">
      <w:r>
        <w:rPr>
          <w:noProof/>
        </w:rPr>
        <w:drawing>
          <wp:inline distT="0" distB="0" distL="0" distR="0" wp14:anchorId="318AB72C" wp14:editId="31A1F345">
            <wp:extent cx="2070100" cy="1282700"/>
            <wp:effectExtent l="0" t="0" r="12700" b="12700"/>
            <wp:docPr id="10" name="Picture 10" descr="../../../../../../Desktop/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igna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ACC6" w14:textId="77777777" w:rsidR="001B186A" w:rsidRDefault="001B186A" w:rsidP="001B186A">
      <w:r>
        <w:t>Bret Stephens, PhD</w:t>
      </w:r>
      <w:r>
        <w:br/>
        <w:t>VP, Discovery Services</w:t>
      </w:r>
    </w:p>
    <w:p w14:paraId="2CD2C6B6" w14:textId="7653AD53" w:rsidR="001B186A" w:rsidRDefault="001B186A" w:rsidP="002339A9">
      <w:r>
        <w:t>Wasatch Scientific Services</w:t>
      </w:r>
    </w:p>
    <w:sectPr w:rsidR="001B186A" w:rsidSect="00F9607F">
      <w:headerReference w:type="default" r:id="rId14"/>
      <w:footerReference w:type="defaul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0570" w14:textId="77777777" w:rsidR="00B76B66" w:rsidRDefault="00B76B66" w:rsidP="005215FF">
      <w:r>
        <w:separator/>
      </w:r>
    </w:p>
  </w:endnote>
  <w:endnote w:type="continuationSeparator" w:id="0">
    <w:p w14:paraId="4E223311" w14:textId="77777777" w:rsidR="00B76B66" w:rsidRDefault="00B76B66" w:rsidP="005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17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D2899" w14:textId="77777777" w:rsidR="0019110A" w:rsidRDefault="00191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B3E1D" w14:textId="77777777" w:rsidR="0019110A" w:rsidRDefault="0019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115E" w14:textId="77777777" w:rsidR="00B76B66" w:rsidRDefault="00B76B66" w:rsidP="005215FF">
      <w:r>
        <w:separator/>
      </w:r>
    </w:p>
  </w:footnote>
  <w:footnote w:type="continuationSeparator" w:id="0">
    <w:p w14:paraId="459725F6" w14:textId="77777777" w:rsidR="00B76B66" w:rsidRDefault="00B76B66" w:rsidP="0052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3667" w14:textId="2479B23D" w:rsidR="0019110A" w:rsidRDefault="0019110A">
    <w:pPr>
      <w:pStyle w:val="Header"/>
    </w:pPr>
    <w:r>
      <w:t>Wasatch Scientific Proposal #LV-</w:t>
    </w:r>
    <w:r w:rsidR="002D128D">
      <w:t>33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2D128D">
      <w:t>June</w:t>
    </w:r>
    <w:r>
      <w:t xml:space="preserve"> </w:t>
    </w:r>
    <w:r w:rsidR="002D128D">
      <w:t>25</w:t>
    </w:r>
    <w: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8A3"/>
    <w:multiLevelType w:val="hybridMultilevel"/>
    <w:tmpl w:val="21B6B4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F48E3"/>
    <w:multiLevelType w:val="hybridMultilevel"/>
    <w:tmpl w:val="09287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8671A"/>
    <w:multiLevelType w:val="hybridMultilevel"/>
    <w:tmpl w:val="09E6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486D"/>
    <w:multiLevelType w:val="hybridMultilevel"/>
    <w:tmpl w:val="770C7BB0"/>
    <w:lvl w:ilvl="0" w:tplc="AB7417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E6"/>
    <w:rsid w:val="00002802"/>
    <w:rsid w:val="000040F3"/>
    <w:rsid w:val="00012452"/>
    <w:rsid w:val="00012CF4"/>
    <w:rsid w:val="00027FE4"/>
    <w:rsid w:val="00035950"/>
    <w:rsid w:val="00046D10"/>
    <w:rsid w:val="00047141"/>
    <w:rsid w:val="00057A3B"/>
    <w:rsid w:val="00060139"/>
    <w:rsid w:val="00071ACB"/>
    <w:rsid w:val="00073169"/>
    <w:rsid w:val="00073EEC"/>
    <w:rsid w:val="00083B10"/>
    <w:rsid w:val="000876B2"/>
    <w:rsid w:val="000901EF"/>
    <w:rsid w:val="00096154"/>
    <w:rsid w:val="00096A67"/>
    <w:rsid w:val="000A0251"/>
    <w:rsid w:val="000B5961"/>
    <w:rsid w:val="000D15FA"/>
    <w:rsid w:val="000F4FBD"/>
    <w:rsid w:val="00104827"/>
    <w:rsid w:val="0010792D"/>
    <w:rsid w:val="00115022"/>
    <w:rsid w:val="001166F1"/>
    <w:rsid w:val="00116DB5"/>
    <w:rsid w:val="0012220F"/>
    <w:rsid w:val="001228E9"/>
    <w:rsid w:val="00125F08"/>
    <w:rsid w:val="0013409E"/>
    <w:rsid w:val="00134F28"/>
    <w:rsid w:val="00143E78"/>
    <w:rsid w:val="001477A3"/>
    <w:rsid w:val="00181CB6"/>
    <w:rsid w:val="0019110A"/>
    <w:rsid w:val="00195373"/>
    <w:rsid w:val="0019659F"/>
    <w:rsid w:val="001B186A"/>
    <w:rsid w:val="001C2DCB"/>
    <w:rsid w:val="001C3507"/>
    <w:rsid w:val="001C5B30"/>
    <w:rsid w:val="001C6771"/>
    <w:rsid w:val="001E099A"/>
    <w:rsid w:val="001E2CC3"/>
    <w:rsid w:val="001E68E9"/>
    <w:rsid w:val="001F4B1E"/>
    <w:rsid w:val="001F5294"/>
    <w:rsid w:val="0020031B"/>
    <w:rsid w:val="00213B10"/>
    <w:rsid w:val="002169DD"/>
    <w:rsid w:val="00216ADB"/>
    <w:rsid w:val="002339A9"/>
    <w:rsid w:val="00243219"/>
    <w:rsid w:val="002457E3"/>
    <w:rsid w:val="00252FE2"/>
    <w:rsid w:val="002665E2"/>
    <w:rsid w:val="002770F5"/>
    <w:rsid w:val="00280C3D"/>
    <w:rsid w:val="002843AA"/>
    <w:rsid w:val="00285552"/>
    <w:rsid w:val="0029431A"/>
    <w:rsid w:val="00296F57"/>
    <w:rsid w:val="002B0787"/>
    <w:rsid w:val="002B3DCF"/>
    <w:rsid w:val="002D128D"/>
    <w:rsid w:val="002D3AE2"/>
    <w:rsid w:val="002E38D3"/>
    <w:rsid w:val="002E3B10"/>
    <w:rsid w:val="002E79B4"/>
    <w:rsid w:val="002F1E22"/>
    <w:rsid w:val="002F3B20"/>
    <w:rsid w:val="00300493"/>
    <w:rsid w:val="00302587"/>
    <w:rsid w:val="00310D33"/>
    <w:rsid w:val="003115DC"/>
    <w:rsid w:val="0032700B"/>
    <w:rsid w:val="00334ABE"/>
    <w:rsid w:val="00345528"/>
    <w:rsid w:val="003522F5"/>
    <w:rsid w:val="00367396"/>
    <w:rsid w:val="003704AD"/>
    <w:rsid w:val="003741F1"/>
    <w:rsid w:val="00382741"/>
    <w:rsid w:val="00383E6A"/>
    <w:rsid w:val="0039550D"/>
    <w:rsid w:val="003A2EA6"/>
    <w:rsid w:val="003B2F1A"/>
    <w:rsid w:val="003B77AD"/>
    <w:rsid w:val="003E30D7"/>
    <w:rsid w:val="003E39CA"/>
    <w:rsid w:val="003E79EE"/>
    <w:rsid w:val="003F4C0C"/>
    <w:rsid w:val="003F4C29"/>
    <w:rsid w:val="00411170"/>
    <w:rsid w:val="004203A1"/>
    <w:rsid w:val="00437912"/>
    <w:rsid w:val="00466DF2"/>
    <w:rsid w:val="00483781"/>
    <w:rsid w:val="004A5829"/>
    <w:rsid w:val="004A59AD"/>
    <w:rsid w:val="004C117A"/>
    <w:rsid w:val="004E50A9"/>
    <w:rsid w:val="004F075B"/>
    <w:rsid w:val="004F2349"/>
    <w:rsid w:val="0050274E"/>
    <w:rsid w:val="0051024C"/>
    <w:rsid w:val="005165A4"/>
    <w:rsid w:val="005215FF"/>
    <w:rsid w:val="005329B5"/>
    <w:rsid w:val="00536EED"/>
    <w:rsid w:val="005410B2"/>
    <w:rsid w:val="00542131"/>
    <w:rsid w:val="0054552B"/>
    <w:rsid w:val="005548D1"/>
    <w:rsid w:val="00557A4A"/>
    <w:rsid w:val="00563405"/>
    <w:rsid w:val="005665EA"/>
    <w:rsid w:val="005671BD"/>
    <w:rsid w:val="00570F89"/>
    <w:rsid w:val="005737CC"/>
    <w:rsid w:val="0058772E"/>
    <w:rsid w:val="00591F07"/>
    <w:rsid w:val="0059761C"/>
    <w:rsid w:val="005C24CC"/>
    <w:rsid w:val="005C3E2E"/>
    <w:rsid w:val="005E076A"/>
    <w:rsid w:val="005E125E"/>
    <w:rsid w:val="005E1A52"/>
    <w:rsid w:val="005F0E25"/>
    <w:rsid w:val="005F3FDD"/>
    <w:rsid w:val="005F5822"/>
    <w:rsid w:val="00602042"/>
    <w:rsid w:val="00607366"/>
    <w:rsid w:val="006120E5"/>
    <w:rsid w:val="00616EC5"/>
    <w:rsid w:val="00633E5C"/>
    <w:rsid w:val="00637D7B"/>
    <w:rsid w:val="00646C82"/>
    <w:rsid w:val="00650920"/>
    <w:rsid w:val="0065695B"/>
    <w:rsid w:val="00657996"/>
    <w:rsid w:val="0066042D"/>
    <w:rsid w:val="006651B5"/>
    <w:rsid w:val="00672227"/>
    <w:rsid w:val="00674871"/>
    <w:rsid w:val="00682292"/>
    <w:rsid w:val="00682EB5"/>
    <w:rsid w:val="006876CD"/>
    <w:rsid w:val="00687F6A"/>
    <w:rsid w:val="00690FFF"/>
    <w:rsid w:val="0069236C"/>
    <w:rsid w:val="006A7BCA"/>
    <w:rsid w:val="006B30EF"/>
    <w:rsid w:val="006C6DD7"/>
    <w:rsid w:val="006D0C8E"/>
    <w:rsid w:val="006E07C7"/>
    <w:rsid w:val="006E1E07"/>
    <w:rsid w:val="006E2F41"/>
    <w:rsid w:val="006E4899"/>
    <w:rsid w:val="006E5935"/>
    <w:rsid w:val="006E6E88"/>
    <w:rsid w:val="006F7733"/>
    <w:rsid w:val="00713444"/>
    <w:rsid w:val="00727F6B"/>
    <w:rsid w:val="00731DA7"/>
    <w:rsid w:val="00735CF2"/>
    <w:rsid w:val="00745D1F"/>
    <w:rsid w:val="00762535"/>
    <w:rsid w:val="00766FB1"/>
    <w:rsid w:val="007674A4"/>
    <w:rsid w:val="00771DC8"/>
    <w:rsid w:val="00776674"/>
    <w:rsid w:val="007A370C"/>
    <w:rsid w:val="007A657F"/>
    <w:rsid w:val="007A7607"/>
    <w:rsid w:val="007B4087"/>
    <w:rsid w:val="007C2CEA"/>
    <w:rsid w:val="007D2F47"/>
    <w:rsid w:val="007E3B89"/>
    <w:rsid w:val="007E63EA"/>
    <w:rsid w:val="007F14A3"/>
    <w:rsid w:val="007F4F0D"/>
    <w:rsid w:val="007F6F8F"/>
    <w:rsid w:val="00807E98"/>
    <w:rsid w:val="00824006"/>
    <w:rsid w:val="0082468B"/>
    <w:rsid w:val="0085007B"/>
    <w:rsid w:val="008523AF"/>
    <w:rsid w:val="00854F39"/>
    <w:rsid w:val="00856D9E"/>
    <w:rsid w:val="00867C4E"/>
    <w:rsid w:val="008805F4"/>
    <w:rsid w:val="008A61D6"/>
    <w:rsid w:val="008C1918"/>
    <w:rsid w:val="008D1F9B"/>
    <w:rsid w:val="008E0957"/>
    <w:rsid w:val="008E2025"/>
    <w:rsid w:val="008E3DEF"/>
    <w:rsid w:val="008E692F"/>
    <w:rsid w:val="008F046E"/>
    <w:rsid w:val="008F2FAC"/>
    <w:rsid w:val="008F794A"/>
    <w:rsid w:val="0090240B"/>
    <w:rsid w:val="00904C2E"/>
    <w:rsid w:val="0091350B"/>
    <w:rsid w:val="00914427"/>
    <w:rsid w:val="00927AEB"/>
    <w:rsid w:val="00937BF2"/>
    <w:rsid w:val="00940141"/>
    <w:rsid w:val="00963134"/>
    <w:rsid w:val="009662AA"/>
    <w:rsid w:val="00972AB1"/>
    <w:rsid w:val="00975FFD"/>
    <w:rsid w:val="009761A3"/>
    <w:rsid w:val="00977B42"/>
    <w:rsid w:val="00982BE6"/>
    <w:rsid w:val="009848C9"/>
    <w:rsid w:val="009A164C"/>
    <w:rsid w:val="009B619F"/>
    <w:rsid w:val="009C2DFB"/>
    <w:rsid w:val="009C55ED"/>
    <w:rsid w:val="009D58BB"/>
    <w:rsid w:val="009E137B"/>
    <w:rsid w:val="009E7D93"/>
    <w:rsid w:val="009F46A9"/>
    <w:rsid w:val="00A15CEE"/>
    <w:rsid w:val="00A25150"/>
    <w:rsid w:val="00A25B1C"/>
    <w:rsid w:val="00A30EE1"/>
    <w:rsid w:val="00A44985"/>
    <w:rsid w:val="00A47145"/>
    <w:rsid w:val="00A53733"/>
    <w:rsid w:val="00A67CE1"/>
    <w:rsid w:val="00A72FC9"/>
    <w:rsid w:val="00A8174E"/>
    <w:rsid w:val="00A83CD0"/>
    <w:rsid w:val="00AB5DDA"/>
    <w:rsid w:val="00AC7C08"/>
    <w:rsid w:val="00AE5BB8"/>
    <w:rsid w:val="00AF0492"/>
    <w:rsid w:val="00B0090F"/>
    <w:rsid w:val="00B02194"/>
    <w:rsid w:val="00B02E99"/>
    <w:rsid w:val="00B25E83"/>
    <w:rsid w:val="00B35838"/>
    <w:rsid w:val="00B4635F"/>
    <w:rsid w:val="00B53498"/>
    <w:rsid w:val="00B5695D"/>
    <w:rsid w:val="00B75580"/>
    <w:rsid w:val="00B76B66"/>
    <w:rsid w:val="00B8365B"/>
    <w:rsid w:val="00B90EB9"/>
    <w:rsid w:val="00B94D85"/>
    <w:rsid w:val="00BA180B"/>
    <w:rsid w:val="00BA1D17"/>
    <w:rsid w:val="00BB2205"/>
    <w:rsid w:val="00BC5277"/>
    <w:rsid w:val="00BC52AE"/>
    <w:rsid w:val="00BC6C5F"/>
    <w:rsid w:val="00BE4182"/>
    <w:rsid w:val="00BE4BD2"/>
    <w:rsid w:val="00BF765F"/>
    <w:rsid w:val="00C07544"/>
    <w:rsid w:val="00C13A91"/>
    <w:rsid w:val="00C20C61"/>
    <w:rsid w:val="00C23B7D"/>
    <w:rsid w:val="00C2656D"/>
    <w:rsid w:val="00C37D64"/>
    <w:rsid w:val="00C56A54"/>
    <w:rsid w:val="00C64B17"/>
    <w:rsid w:val="00C66C0D"/>
    <w:rsid w:val="00C67CB4"/>
    <w:rsid w:val="00C70640"/>
    <w:rsid w:val="00C74A6C"/>
    <w:rsid w:val="00C76373"/>
    <w:rsid w:val="00C7717A"/>
    <w:rsid w:val="00C84462"/>
    <w:rsid w:val="00CA4254"/>
    <w:rsid w:val="00CA7270"/>
    <w:rsid w:val="00CB138E"/>
    <w:rsid w:val="00CB275E"/>
    <w:rsid w:val="00CB4B06"/>
    <w:rsid w:val="00CB4D59"/>
    <w:rsid w:val="00CB7A9B"/>
    <w:rsid w:val="00CB7AAD"/>
    <w:rsid w:val="00CC388E"/>
    <w:rsid w:val="00CD17D6"/>
    <w:rsid w:val="00CD4115"/>
    <w:rsid w:val="00CF1C2C"/>
    <w:rsid w:val="00D015B5"/>
    <w:rsid w:val="00D048B8"/>
    <w:rsid w:val="00D060C9"/>
    <w:rsid w:val="00D14710"/>
    <w:rsid w:val="00D2013C"/>
    <w:rsid w:val="00D20BC6"/>
    <w:rsid w:val="00D22BA2"/>
    <w:rsid w:val="00D305BA"/>
    <w:rsid w:val="00D356D6"/>
    <w:rsid w:val="00D56089"/>
    <w:rsid w:val="00D654B7"/>
    <w:rsid w:val="00D736EF"/>
    <w:rsid w:val="00D74F4C"/>
    <w:rsid w:val="00D922F6"/>
    <w:rsid w:val="00DA2670"/>
    <w:rsid w:val="00DA437C"/>
    <w:rsid w:val="00DA701F"/>
    <w:rsid w:val="00DB2106"/>
    <w:rsid w:val="00DB298C"/>
    <w:rsid w:val="00DD32DF"/>
    <w:rsid w:val="00DD72C7"/>
    <w:rsid w:val="00DE470A"/>
    <w:rsid w:val="00DF0F96"/>
    <w:rsid w:val="00DF71D8"/>
    <w:rsid w:val="00E00BF7"/>
    <w:rsid w:val="00E00EE6"/>
    <w:rsid w:val="00E106B3"/>
    <w:rsid w:val="00E10A60"/>
    <w:rsid w:val="00E21AE9"/>
    <w:rsid w:val="00E23B70"/>
    <w:rsid w:val="00E3233B"/>
    <w:rsid w:val="00E344D5"/>
    <w:rsid w:val="00E42BFD"/>
    <w:rsid w:val="00E56F2B"/>
    <w:rsid w:val="00E603BD"/>
    <w:rsid w:val="00E83C39"/>
    <w:rsid w:val="00E95333"/>
    <w:rsid w:val="00EA02DC"/>
    <w:rsid w:val="00EA1DD8"/>
    <w:rsid w:val="00EA1E5E"/>
    <w:rsid w:val="00EB1070"/>
    <w:rsid w:val="00EC133E"/>
    <w:rsid w:val="00EC6CBD"/>
    <w:rsid w:val="00ED19D0"/>
    <w:rsid w:val="00ED2D27"/>
    <w:rsid w:val="00ED5F29"/>
    <w:rsid w:val="00EE1765"/>
    <w:rsid w:val="00EE69FC"/>
    <w:rsid w:val="00F15E1E"/>
    <w:rsid w:val="00F24CAC"/>
    <w:rsid w:val="00F26C5A"/>
    <w:rsid w:val="00F33776"/>
    <w:rsid w:val="00F413A5"/>
    <w:rsid w:val="00F525F6"/>
    <w:rsid w:val="00F6514F"/>
    <w:rsid w:val="00F9607F"/>
    <w:rsid w:val="00F97BB1"/>
    <w:rsid w:val="00FA18D2"/>
    <w:rsid w:val="00FA4B50"/>
    <w:rsid w:val="00FA5F38"/>
    <w:rsid w:val="00FB0413"/>
    <w:rsid w:val="00FB120F"/>
    <w:rsid w:val="00FB3DC8"/>
    <w:rsid w:val="00FB6298"/>
    <w:rsid w:val="00FB75E0"/>
    <w:rsid w:val="00FC5485"/>
    <w:rsid w:val="00FD5CF7"/>
    <w:rsid w:val="00FD6A9C"/>
    <w:rsid w:val="00FE1144"/>
    <w:rsid w:val="00FE71D0"/>
    <w:rsid w:val="00FF1B41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70EAD"/>
  <w15:chartTrackingRefBased/>
  <w15:docId w15:val="{91FB6EDE-63FE-4B99-9147-8695520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76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5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C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BE6"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500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15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15FF"/>
  </w:style>
  <w:style w:type="paragraph" w:styleId="Footer">
    <w:name w:val="footer"/>
    <w:basedOn w:val="Normal"/>
    <w:link w:val="FooterChar"/>
    <w:uiPriority w:val="99"/>
    <w:unhideWhenUsed/>
    <w:rsid w:val="005215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15FF"/>
  </w:style>
  <w:style w:type="character" w:customStyle="1" w:styleId="Heading1Char">
    <w:name w:val="Heading 1 Char"/>
    <w:basedOn w:val="DefaultParagraphFont"/>
    <w:link w:val="Heading1"/>
    <w:uiPriority w:val="9"/>
    <w:rsid w:val="00521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40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106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CD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">
    <w:name w:val="p"/>
    <w:basedOn w:val="Normal"/>
    <w:rsid w:val="00A83CD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83CD0"/>
    <w:rPr>
      <w:i/>
      <w:iCs/>
    </w:rPr>
  </w:style>
  <w:style w:type="character" w:customStyle="1" w:styleId="small-caps">
    <w:name w:val="small-caps"/>
    <w:basedOn w:val="DefaultParagraphFont"/>
    <w:rsid w:val="00A83CD0"/>
  </w:style>
  <w:style w:type="paragraph" w:styleId="BalloonText">
    <w:name w:val="Balloon Text"/>
    <w:basedOn w:val="Normal"/>
    <w:link w:val="BalloonTextChar"/>
    <w:uiPriority w:val="99"/>
    <w:semiHidden/>
    <w:unhideWhenUsed/>
    <w:rsid w:val="00D65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B7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2E79B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9607F"/>
    <w:rPr>
      <w:b/>
      <w:bCs/>
    </w:rPr>
  </w:style>
  <w:style w:type="paragraph" w:styleId="Revision">
    <w:name w:val="Revision"/>
    <w:hidden/>
    <w:uiPriority w:val="99"/>
    <w:semiHidden/>
    <w:rsid w:val="00466D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8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F5F8-E000-114D-AF0E-B7C5E3E1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Oddou</dc:creator>
  <cp:keywords/>
  <dc:description/>
  <cp:lastModifiedBy>Lachelle Via</cp:lastModifiedBy>
  <cp:revision>4</cp:revision>
  <cp:lastPrinted>2018-03-09T21:58:00Z</cp:lastPrinted>
  <dcterms:created xsi:type="dcterms:W3CDTF">2019-04-17T14:23:00Z</dcterms:created>
  <dcterms:modified xsi:type="dcterms:W3CDTF">2020-05-12T14:16:00Z</dcterms:modified>
</cp:coreProperties>
</file>